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258A2" w14:textId="77777777" w:rsidR="00DA33F4" w:rsidRPr="000A327B" w:rsidRDefault="00C132BB" w:rsidP="006008F7">
      <w:pPr>
        <w:pStyle w:val="letterform"/>
        <w:jc w:val="center"/>
        <w:rPr>
          <w:rFonts w:ascii="Times New Roman" w:hAnsi="Times New Roman"/>
          <w:b/>
          <w:bCs/>
          <w:smallCaps/>
          <w:spacing w:val="-4"/>
          <w:lang w:val="fr-CA"/>
        </w:rPr>
      </w:pPr>
      <w:r w:rsidRPr="000A327B">
        <w:rPr>
          <w:rFonts w:ascii="Times New Roman" w:hAnsi="Times New Roman"/>
          <w:b/>
          <w:bCs/>
          <w:smallCaps/>
          <w:spacing w:val="-4"/>
          <w:lang w:val="fr-CA"/>
        </w:rPr>
        <w:t xml:space="preserve">Groupe d’Alimentation </w:t>
      </w:r>
      <w:r w:rsidR="00C50197" w:rsidRPr="000A327B">
        <w:rPr>
          <w:rFonts w:ascii="Times New Roman" w:hAnsi="Times New Roman"/>
          <w:b/>
          <w:bCs/>
          <w:smallCaps/>
          <w:spacing w:val="-4"/>
          <w:lang w:val="fr-CA"/>
        </w:rPr>
        <w:t xml:space="preserve">MTY </w:t>
      </w:r>
      <w:r w:rsidRPr="000A327B">
        <w:rPr>
          <w:rFonts w:ascii="Times New Roman" w:hAnsi="Times New Roman"/>
          <w:b/>
          <w:bCs/>
          <w:smallCaps/>
          <w:spacing w:val="-4"/>
          <w:lang w:val="fr-CA"/>
        </w:rPr>
        <w:t>inc.</w:t>
      </w:r>
    </w:p>
    <w:p w14:paraId="270F2821" w14:textId="77777777" w:rsidR="00DA33F4" w:rsidRPr="00870EEC" w:rsidRDefault="00C50197" w:rsidP="006008F7">
      <w:pPr>
        <w:spacing w:line="240" w:lineRule="atLeast"/>
        <w:jc w:val="center"/>
        <w:rPr>
          <w:spacing w:val="-3"/>
          <w:lang w:val="fr-CA"/>
        </w:rPr>
      </w:pPr>
      <w:r w:rsidRPr="00870EEC">
        <w:rPr>
          <w:spacing w:val="-3"/>
          <w:lang w:val="fr-CA"/>
        </w:rPr>
        <w:t>8150</w:t>
      </w:r>
      <w:r w:rsidR="00C132BB" w:rsidRPr="00870EEC">
        <w:rPr>
          <w:spacing w:val="-3"/>
          <w:lang w:val="fr-CA"/>
        </w:rPr>
        <w:t>,</w:t>
      </w:r>
      <w:r w:rsidRPr="00870EEC">
        <w:rPr>
          <w:spacing w:val="-3"/>
          <w:lang w:val="fr-CA"/>
        </w:rPr>
        <w:t xml:space="preserve"> route Transcanadienne, </w:t>
      </w:r>
      <w:r w:rsidR="00C132BB" w:rsidRPr="00870EEC">
        <w:rPr>
          <w:spacing w:val="-3"/>
          <w:lang w:val="fr-CA"/>
        </w:rPr>
        <w:t>bureau</w:t>
      </w:r>
      <w:r w:rsidRPr="00870EEC">
        <w:rPr>
          <w:spacing w:val="-3"/>
          <w:lang w:val="fr-CA"/>
        </w:rPr>
        <w:t xml:space="preserve"> 200</w:t>
      </w:r>
    </w:p>
    <w:p w14:paraId="0B833556" w14:textId="77777777" w:rsidR="00DA33F4" w:rsidRPr="00870EEC" w:rsidRDefault="00C50197" w:rsidP="006008F7">
      <w:pPr>
        <w:spacing w:line="240" w:lineRule="atLeast"/>
        <w:jc w:val="center"/>
        <w:rPr>
          <w:spacing w:val="-3"/>
          <w:lang w:val="fr-CA"/>
        </w:rPr>
      </w:pPr>
      <w:r w:rsidRPr="00870EEC">
        <w:rPr>
          <w:spacing w:val="-3"/>
          <w:lang w:val="fr-CA"/>
        </w:rPr>
        <w:t xml:space="preserve">St-Laurent </w:t>
      </w:r>
      <w:r w:rsidR="00C132BB" w:rsidRPr="00870EEC">
        <w:rPr>
          <w:spacing w:val="-3"/>
          <w:lang w:val="fr-CA"/>
        </w:rPr>
        <w:t>(</w:t>
      </w:r>
      <w:r w:rsidRPr="00870EEC">
        <w:rPr>
          <w:spacing w:val="-3"/>
          <w:lang w:val="fr-CA"/>
        </w:rPr>
        <w:t>Qu</w:t>
      </w:r>
      <w:r w:rsidR="00C132BB" w:rsidRPr="00870EEC">
        <w:rPr>
          <w:spacing w:val="-3"/>
          <w:lang w:val="fr-CA"/>
        </w:rPr>
        <w:t>é</w:t>
      </w:r>
      <w:r w:rsidRPr="00870EEC">
        <w:rPr>
          <w:spacing w:val="-3"/>
          <w:lang w:val="fr-CA"/>
        </w:rPr>
        <w:t>bec</w:t>
      </w:r>
      <w:r w:rsidR="00C132BB" w:rsidRPr="00870EEC">
        <w:rPr>
          <w:spacing w:val="-3"/>
          <w:lang w:val="fr-CA"/>
        </w:rPr>
        <w:t>)</w:t>
      </w:r>
      <w:r w:rsidRPr="00870EEC">
        <w:rPr>
          <w:spacing w:val="-3"/>
          <w:lang w:val="fr-CA"/>
        </w:rPr>
        <w:t xml:space="preserve"> H4S 1M5</w:t>
      </w:r>
    </w:p>
    <w:p w14:paraId="43A1D253" w14:textId="77777777" w:rsidR="00DA33F4" w:rsidRPr="00870EEC" w:rsidRDefault="00DA33F4" w:rsidP="006008F7">
      <w:pPr>
        <w:pStyle w:val="BodyTextIndent"/>
        <w:ind w:left="0"/>
        <w:rPr>
          <w:rFonts w:ascii="Times New Roman" w:hAnsi="Times New Roman"/>
          <w:lang w:val="fr-CA"/>
        </w:rPr>
      </w:pPr>
    </w:p>
    <w:p w14:paraId="320E88D4" w14:textId="3E11B0D8" w:rsidR="00DA33F4" w:rsidRPr="00870EEC" w:rsidRDefault="00F56CBE" w:rsidP="006008F7">
      <w:pPr>
        <w:pStyle w:val="BodyTextIndent"/>
        <w:tabs>
          <w:tab w:val="right" w:pos="10080"/>
        </w:tabs>
        <w:spacing w:line="240" w:lineRule="auto"/>
        <w:ind w:left="0" w:firstLine="0"/>
        <w:rPr>
          <w:rFonts w:ascii="Times New Roman" w:hAnsi="Times New Roman"/>
          <w:lang w:val="fr-CA"/>
        </w:rPr>
      </w:pPr>
      <w:r>
        <w:rPr>
          <w:rFonts w:ascii="Times New Roman" w:hAnsi="Times New Roman"/>
          <w:lang w:val="fr-CA"/>
        </w:rPr>
        <w:t>Montréal, 9 décembre</w:t>
      </w:r>
      <w:r w:rsidR="00C50197" w:rsidRPr="00870EEC">
        <w:rPr>
          <w:rFonts w:ascii="Times New Roman" w:hAnsi="Times New Roman"/>
          <w:lang w:val="fr-CA"/>
        </w:rPr>
        <w:t xml:space="preserve"> 2016</w:t>
      </w:r>
      <w:r w:rsidR="00C50197" w:rsidRPr="00870EEC">
        <w:rPr>
          <w:rFonts w:ascii="Times New Roman" w:hAnsi="Times New Roman"/>
          <w:lang w:val="fr-CA"/>
        </w:rPr>
        <w:tab/>
        <w:t>Symbol</w:t>
      </w:r>
      <w:r w:rsidR="006008F7" w:rsidRPr="00870EEC">
        <w:rPr>
          <w:rFonts w:ascii="Times New Roman" w:hAnsi="Times New Roman"/>
          <w:lang w:val="fr-CA"/>
        </w:rPr>
        <w:t>e TSX </w:t>
      </w:r>
      <w:r w:rsidR="00C50197" w:rsidRPr="00870EEC">
        <w:rPr>
          <w:rFonts w:ascii="Times New Roman" w:hAnsi="Times New Roman"/>
          <w:lang w:val="fr-CA"/>
        </w:rPr>
        <w:t xml:space="preserve">: </w:t>
      </w:r>
      <w:r w:rsidR="000A327B" w:rsidRPr="00870EEC">
        <w:rPr>
          <w:rFonts w:ascii="Times New Roman" w:hAnsi="Times New Roman"/>
          <w:lang w:val="fr-CA"/>
        </w:rPr>
        <w:t>« </w:t>
      </w:r>
      <w:r w:rsidR="00C50197" w:rsidRPr="00870EEC">
        <w:rPr>
          <w:rFonts w:ascii="Times New Roman" w:hAnsi="Times New Roman"/>
          <w:lang w:val="fr-CA"/>
        </w:rPr>
        <w:t>MTY</w:t>
      </w:r>
      <w:r w:rsidR="000A327B" w:rsidRPr="00870EEC">
        <w:rPr>
          <w:rFonts w:ascii="Times New Roman" w:hAnsi="Times New Roman"/>
          <w:lang w:val="fr-CA"/>
        </w:rPr>
        <w:t> »</w:t>
      </w:r>
    </w:p>
    <w:p w14:paraId="72A3FC36" w14:textId="77777777" w:rsidR="00DA33F4" w:rsidRPr="00870EEC" w:rsidRDefault="00DA33F4" w:rsidP="006008F7">
      <w:pPr>
        <w:pStyle w:val="Heading2"/>
        <w:keepNext w:val="0"/>
        <w:spacing w:line="240" w:lineRule="auto"/>
        <w:jc w:val="center"/>
        <w:rPr>
          <w:rFonts w:ascii="Times New Roman" w:eastAsia="Times New Roman" w:hAnsi="Times New Roman"/>
          <w:lang w:val="fr-CA"/>
        </w:rPr>
      </w:pPr>
    </w:p>
    <w:p w14:paraId="180FA399" w14:textId="77777777" w:rsidR="00DA33F4" w:rsidRPr="000A327B" w:rsidRDefault="006008F7" w:rsidP="006008F7">
      <w:pPr>
        <w:jc w:val="center"/>
        <w:rPr>
          <w:b/>
          <w:bCs/>
          <w:sz w:val="24"/>
          <w:szCs w:val="24"/>
          <w:u w:val="single"/>
          <w:lang w:val="fr-CA"/>
        </w:rPr>
      </w:pPr>
      <w:r w:rsidRPr="000A327B">
        <w:rPr>
          <w:b/>
          <w:bCs/>
          <w:sz w:val="24"/>
          <w:szCs w:val="24"/>
          <w:u w:val="single"/>
          <w:lang w:val="fr-CA"/>
        </w:rPr>
        <w:t>COMMUNIQUÉ</w:t>
      </w:r>
    </w:p>
    <w:p w14:paraId="2B03E15A" w14:textId="77777777" w:rsidR="00DA33F4" w:rsidRPr="000A327B" w:rsidRDefault="00DA33F4" w:rsidP="006008F7">
      <w:pPr>
        <w:rPr>
          <w:sz w:val="24"/>
          <w:szCs w:val="24"/>
          <w:lang w:val="fr-CA"/>
        </w:rPr>
      </w:pPr>
    </w:p>
    <w:p w14:paraId="5AA88E18" w14:textId="2E8F6B78" w:rsidR="00DA33F4" w:rsidRPr="000A327B" w:rsidRDefault="00C50197" w:rsidP="006008F7">
      <w:pPr>
        <w:pStyle w:val="Heading2"/>
        <w:keepNext w:val="0"/>
        <w:spacing w:line="240" w:lineRule="auto"/>
        <w:jc w:val="center"/>
        <w:rPr>
          <w:rFonts w:ascii="Times New Roman" w:eastAsia="Times New Roman" w:hAnsi="Times New Roman"/>
          <w:sz w:val="22"/>
          <w:szCs w:val="22"/>
          <w:lang w:val="fr-CA"/>
        </w:rPr>
      </w:pPr>
      <w:r w:rsidRPr="000A327B">
        <w:rPr>
          <w:rFonts w:ascii="Times New Roman" w:eastAsia="Times New Roman" w:hAnsi="Times New Roman"/>
          <w:sz w:val="22"/>
          <w:szCs w:val="22"/>
          <w:lang w:val="fr-CA"/>
        </w:rPr>
        <w:t>MTY COMPL</w:t>
      </w:r>
      <w:r w:rsidR="006008F7" w:rsidRPr="000A327B">
        <w:rPr>
          <w:rFonts w:ascii="Times New Roman" w:eastAsia="Times New Roman" w:hAnsi="Times New Roman"/>
          <w:sz w:val="22"/>
          <w:szCs w:val="22"/>
          <w:lang w:val="fr-CA"/>
        </w:rPr>
        <w:t>È</w:t>
      </w:r>
      <w:r w:rsidRPr="000A327B">
        <w:rPr>
          <w:rFonts w:ascii="Times New Roman" w:eastAsia="Times New Roman" w:hAnsi="Times New Roman"/>
          <w:sz w:val="22"/>
          <w:szCs w:val="22"/>
          <w:lang w:val="fr-CA"/>
        </w:rPr>
        <w:t xml:space="preserve">TE </w:t>
      </w:r>
      <w:r w:rsidR="006008F7" w:rsidRPr="000A327B">
        <w:rPr>
          <w:rFonts w:ascii="Times New Roman" w:eastAsia="Times New Roman" w:hAnsi="Times New Roman"/>
          <w:sz w:val="22"/>
          <w:szCs w:val="22"/>
          <w:lang w:val="fr-CA"/>
        </w:rPr>
        <w:t>L’</w:t>
      </w:r>
      <w:r w:rsidRPr="000A327B">
        <w:rPr>
          <w:rFonts w:ascii="Times New Roman" w:eastAsia="Times New Roman" w:hAnsi="Times New Roman"/>
          <w:sz w:val="22"/>
          <w:szCs w:val="22"/>
          <w:lang w:val="fr-CA"/>
        </w:rPr>
        <w:t xml:space="preserve">ACQUISITION </w:t>
      </w:r>
      <w:r w:rsidR="006008F7" w:rsidRPr="000A327B">
        <w:rPr>
          <w:rFonts w:ascii="Times New Roman" w:eastAsia="Times New Roman" w:hAnsi="Times New Roman"/>
          <w:sz w:val="22"/>
          <w:szCs w:val="22"/>
          <w:lang w:val="fr-CA"/>
        </w:rPr>
        <w:t>DE</w:t>
      </w:r>
      <w:r w:rsidR="00F56CBE">
        <w:rPr>
          <w:rFonts w:ascii="Times New Roman" w:eastAsia="Times New Roman" w:hAnsi="Times New Roman"/>
          <w:sz w:val="22"/>
          <w:szCs w:val="22"/>
          <w:lang w:val="fr-CA"/>
        </w:rPr>
        <w:t xml:space="preserve"> LA DIPERIE</w:t>
      </w:r>
    </w:p>
    <w:p w14:paraId="0F60050A" w14:textId="77777777" w:rsidR="00DA33F4" w:rsidRPr="000A327B" w:rsidRDefault="00DA33F4" w:rsidP="006008F7">
      <w:pPr>
        <w:pStyle w:val="Heading2"/>
        <w:keepNext w:val="0"/>
        <w:jc w:val="center"/>
        <w:rPr>
          <w:rFonts w:ascii="Times New Roman" w:hAnsi="Times New Roman"/>
          <w:lang w:val="fr-CA"/>
        </w:rPr>
      </w:pPr>
    </w:p>
    <w:p w14:paraId="102EA02A" w14:textId="4DD1D1FF" w:rsidR="0051754D" w:rsidRDefault="00C50197" w:rsidP="0051754D">
      <w:pPr>
        <w:jc w:val="both"/>
        <w:rPr>
          <w:lang w:val="fr-CA"/>
        </w:rPr>
      </w:pPr>
      <w:r w:rsidRPr="00EB3704">
        <w:rPr>
          <w:lang w:val="fr-CA"/>
        </w:rPr>
        <w:t>Montr</w:t>
      </w:r>
      <w:r w:rsidR="00120ED7" w:rsidRPr="00EB3704">
        <w:rPr>
          <w:lang w:val="fr-CA"/>
        </w:rPr>
        <w:t>é</w:t>
      </w:r>
      <w:r w:rsidRPr="00EB3704">
        <w:rPr>
          <w:lang w:val="fr-CA"/>
        </w:rPr>
        <w:t xml:space="preserve">al, </w:t>
      </w:r>
      <w:r w:rsidR="00F56CBE">
        <w:rPr>
          <w:lang w:val="fr-CA"/>
        </w:rPr>
        <w:t>9 décembre</w:t>
      </w:r>
      <w:r w:rsidR="00120ED7" w:rsidRPr="00EB3704">
        <w:rPr>
          <w:lang w:val="fr-CA"/>
        </w:rPr>
        <w:t xml:space="preserve"> 2016</w:t>
      </w:r>
      <w:r w:rsidRPr="00EB3704">
        <w:rPr>
          <w:lang w:val="fr-CA"/>
        </w:rPr>
        <w:t xml:space="preserve"> </w:t>
      </w:r>
      <w:r w:rsidR="00120ED7" w:rsidRPr="00EB3704">
        <w:rPr>
          <w:lang w:val="fr-CA"/>
        </w:rPr>
        <w:t>–</w:t>
      </w:r>
      <w:r w:rsidRPr="00EB3704">
        <w:rPr>
          <w:lang w:val="fr-CA"/>
        </w:rPr>
        <w:t xml:space="preserve"> </w:t>
      </w:r>
      <w:r w:rsidR="00120ED7" w:rsidRPr="00EB3704">
        <w:rPr>
          <w:lang w:val="fr-CA"/>
        </w:rPr>
        <w:t xml:space="preserve">Groupe d’Alimentation </w:t>
      </w:r>
      <w:r w:rsidRPr="00EB3704">
        <w:rPr>
          <w:lang w:val="fr-CA"/>
        </w:rPr>
        <w:t xml:space="preserve">MTY </w:t>
      </w:r>
      <w:r w:rsidR="00120ED7" w:rsidRPr="00EB3704">
        <w:rPr>
          <w:lang w:val="fr-CA"/>
        </w:rPr>
        <w:t>i</w:t>
      </w:r>
      <w:r w:rsidRPr="00EB3704">
        <w:rPr>
          <w:lang w:val="fr-CA"/>
        </w:rPr>
        <w:t>nc. (</w:t>
      </w:r>
      <w:r w:rsidR="000A327B" w:rsidRPr="00EB3704">
        <w:rPr>
          <w:lang w:val="fr-CA"/>
        </w:rPr>
        <w:t>« </w:t>
      </w:r>
      <w:r w:rsidRPr="00EB3704">
        <w:rPr>
          <w:lang w:val="fr-CA"/>
        </w:rPr>
        <w:t>MTY</w:t>
      </w:r>
      <w:r w:rsidR="000A327B" w:rsidRPr="00EB3704">
        <w:rPr>
          <w:lang w:val="fr-CA"/>
        </w:rPr>
        <w:t> »</w:t>
      </w:r>
      <w:r w:rsidRPr="00EB3704">
        <w:rPr>
          <w:lang w:val="fr-CA"/>
        </w:rPr>
        <w:t xml:space="preserve"> </w:t>
      </w:r>
      <w:r w:rsidR="00120ED7" w:rsidRPr="00EB3704">
        <w:rPr>
          <w:lang w:val="fr-CA"/>
        </w:rPr>
        <w:t>ou</w:t>
      </w:r>
      <w:r w:rsidRPr="00EB3704">
        <w:rPr>
          <w:lang w:val="fr-CA"/>
        </w:rPr>
        <w:t xml:space="preserve"> </w:t>
      </w:r>
      <w:r w:rsidR="00120ED7" w:rsidRPr="00EB3704">
        <w:rPr>
          <w:lang w:val="fr-CA"/>
        </w:rPr>
        <w:t>la</w:t>
      </w:r>
      <w:r w:rsidRPr="00EB3704">
        <w:rPr>
          <w:lang w:val="fr-CA"/>
        </w:rPr>
        <w:t xml:space="preserve"> </w:t>
      </w:r>
      <w:r w:rsidR="000A327B" w:rsidRPr="00EB3704">
        <w:rPr>
          <w:lang w:val="fr-CA"/>
        </w:rPr>
        <w:t>« </w:t>
      </w:r>
      <w:r w:rsidR="00120ED7" w:rsidRPr="00EB3704">
        <w:rPr>
          <w:lang w:val="fr-CA"/>
        </w:rPr>
        <w:t>Société</w:t>
      </w:r>
      <w:r w:rsidR="000A327B" w:rsidRPr="00EB3704">
        <w:rPr>
          <w:lang w:val="fr-CA"/>
        </w:rPr>
        <w:t> »</w:t>
      </w:r>
      <w:r w:rsidRPr="00EB3704">
        <w:rPr>
          <w:lang w:val="fr-CA"/>
        </w:rPr>
        <w:t>) (TSX</w:t>
      </w:r>
      <w:r w:rsidR="00120ED7" w:rsidRPr="00EB3704">
        <w:rPr>
          <w:lang w:val="fr-CA"/>
        </w:rPr>
        <w:t> </w:t>
      </w:r>
      <w:r w:rsidRPr="00EB3704">
        <w:rPr>
          <w:lang w:val="fr-CA"/>
        </w:rPr>
        <w:t xml:space="preserve">: MTY) </w:t>
      </w:r>
      <w:r w:rsidR="00120ED7" w:rsidRPr="00EB3704">
        <w:rPr>
          <w:lang w:val="fr-CA"/>
        </w:rPr>
        <w:t xml:space="preserve">a </w:t>
      </w:r>
      <w:r w:rsidR="00F56CBE">
        <w:rPr>
          <w:lang w:val="fr-CA"/>
        </w:rPr>
        <w:t>le plaisir d’</w:t>
      </w:r>
      <w:r w:rsidR="0043574A" w:rsidRPr="00EB3704">
        <w:rPr>
          <w:lang w:val="fr-CA"/>
        </w:rPr>
        <w:t>annoncer qu</w:t>
      </w:r>
      <w:r w:rsidR="00EC4A21">
        <w:rPr>
          <w:lang w:val="fr-CA"/>
        </w:rPr>
        <w:t xml:space="preserve">e, tel qu’annoncé le </w:t>
      </w:r>
      <w:r w:rsidR="00F56CBE">
        <w:rPr>
          <w:lang w:val="fr-CA"/>
        </w:rPr>
        <w:t>29 novembre</w:t>
      </w:r>
      <w:r w:rsidR="00EC4A21">
        <w:rPr>
          <w:lang w:val="fr-CA"/>
        </w:rPr>
        <w:t xml:space="preserve"> 2016, </w:t>
      </w:r>
      <w:r w:rsidR="00F56CBE">
        <w:rPr>
          <w:lang w:val="fr-CA"/>
        </w:rPr>
        <w:t xml:space="preserve">elle a complété l’acquisition de 60% des actifs de La </w:t>
      </w:r>
      <w:proofErr w:type="spellStart"/>
      <w:r w:rsidR="00F56CBE">
        <w:rPr>
          <w:lang w:val="fr-CA"/>
        </w:rPr>
        <w:t>Diperie</w:t>
      </w:r>
      <w:proofErr w:type="spellEnd"/>
      <w:r w:rsidR="00F56CBE">
        <w:rPr>
          <w:lang w:val="fr-CA"/>
        </w:rPr>
        <w:t xml:space="preserve"> (</w:t>
      </w:r>
      <w:hyperlink r:id="rId6" w:history="1">
        <w:r w:rsidR="00F56CBE" w:rsidRPr="00FB6927">
          <w:rPr>
            <w:rStyle w:val="Hyperlink"/>
            <w:lang w:val="fr-CA"/>
          </w:rPr>
          <w:t>www.ladiperie.com</w:t>
        </w:r>
      </w:hyperlink>
      <w:r w:rsidR="00F56CBE">
        <w:rPr>
          <w:lang w:val="fr-CA"/>
        </w:rPr>
        <w:t>).</w:t>
      </w:r>
    </w:p>
    <w:p w14:paraId="71AE0DB2" w14:textId="66EE5FF6" w:rsidR="000A327B" w:rsidRPr="00EB3704" w:rsidRDefault="000A327B" w:rsidP="006008F7">
      <w:pPr>
        <w:jc w:val="both"/>
        <w:rPr>
          <w:lang w:val="fr-CA"/>
        </w:rPr>
      </w:pPr>
    </w:p>
    <w:p w14:paraId="364B6077" w14:textId="04CD22A4" w:rsidR="00B11589" w:rsidRDefault="001E0B8C" w:rsidP="0051754D">
      <w:pPr>
        <w:jc w:val="both"/>
        <w:rPr>
          <w:lang w:val="fr-CA"/>
        </w:rPr>
      </w:pPr>
      <w:r w:rsidRPr="00EB3704">
        <w:rPr>
          <w:lang w:val="fr-CA"/>
        </w:rPr>
        <w:t>L</w:t>
      </w:r>
      <w:r w:rsidR="0051754D">
        <w:rPr>
          <w:lang w:val="fr-CA"/>
        </w:rPr>
        <w:t>a</w:t>
      </w:r>
      <w:r w:rsidRPr="00EB3704">
        <w:rPr>
          <w:lang w:val="fr-CA"/>
        </w:rPr>
        <w:t xml:space="preserve"> contrepartie </w:t>
      </w:r>
      <w:r w:rsidR="0051754D">
        <w:rPr>
          <w:lang w:val="fr-CA"/>
        </w:rPr>
        <w:t xml:space="preserve">totale pour la transaction est approximativement </w:t>
      </w:r>
      <w:r w:rsidR="00F56CBE">
        <w:rPr>
          <w:lang w:val="fr-CA"/>
        </w:rPr>
        <w:t xml:space="preserve">0,9 millions $, </w:t>
      </w:r>
      <w:r w:rsidR="0051754D">
        <w:rPr>
          <w:lang w:val="fr-CA"/>
        </w:rPr>
        <w:t xml:space="preserve">payée comptant à la date de clôture.  </w:t>
      </w:r>
    </w:p>
    <w:p w14:paraId="3E24BF6C" w14:textId="22D07A29" w:rsidR="0051754D" w:rsidRDefault="0051754D" w:rsidP="0051754D">
      <w:pPr>
        <w:jc w:val="both"/>
        <w:rPr>
          <w:lang w:val="fr-CA"/>
        </w:rPr>
      </w:pPr>
    </w:p>
    <w:p w14:paraId="0CFD6AE2" w14:textId="226CC3E0" w:rsidR="00EB101B" w:rsidRPr="00EB3704" w:rsidRDefault="0051754D" w:rsidP="0051754D">
      <w:pPr>
        <w:jc w:val="both"/>
        <w:rPr>
          <w:lang w:val="fr-CA"/>
        </w:rPr>
      </w:pPr>
      <w:r>
        <w:rPr>
          <w:lang w:val="fr-CA"/>
        </w:rPr>
        <w:t xml:space="preserve">À la clôture, </w:t>
      </w:r>
      <w:r w:rsidR="00F56CBE">
        <w:rPr>
          <w:lang w:val="fr-CA"/>
        </w:rPr>
        <w:t xml:space="preserve">La </w:t>
      </w:r>
      <w:proofErr w:type="spellStart"/>
      <w:r w:rsidR="00F56CBE">
        <w:rPr>
          <w:lang w:val="fr-CA"/>
        </w:rPr>
        <w:t>Diperie</w:t>
      </w:r>
      <w:proofErr w:type="spellEnd"/>
      <w:r w:rsidR="00F56CBE">
        <w:rPr>
          <w:lang w:val="fr-CA"/>
        </w:rPr>
        <w:t xml:space="preserve"> opère 5 emplacements franchisés</w:t>
      </w:r>
      <w:r w:rsidR="00EB101B">
        <w:rPr>
          <w:lang w:val="fr-CA"/>
        </w:rPr>
        <w:t>.</w:t>
      </w:r>
    </w:p>
    <w:p w14:paraId="441DAA61" w14:textId="77777777" w:rsidR="00DA33F4" w:rsidRPr="00EB3704" w:rsidRDefault="00DA33F4" w:rsidP="006008F7">
      <w:pPr>
        <w:jc w:val="both"/>
        <w:rPr>
          <w:lang w:val="fr-CA"/>
        </w:rPr>
      </w:pPr>
    </w:p>
    <w:p w14:paraId="411E1199" w14:textId="77777777" w:rsidR="00E7660E" w:rsidRPr="00EB3704" w:rsidRDefault="00E7660E" w:rsidP="00870EEC">
      <w:pPr>
        <w:keepNext/>
        <w:jc w:val="both"/>
        <w:rPr>
          <w:b/>
          <w:lang w:val="fr-CA"/>
        </w:rPr>
      </w:pPr>
      <w:r w:rsidRPr="00EB3704">
        <w:rPr>
          <w:b/>
          <w:lang w:val="fr-CA"/>
        </w:rPr>
        <w:t>Énoncés prospectifs</w:t>
      </w:r>
    </w:p>
    <w:p w14:paraId="3995E390" w14:textId="77777777" w:rsidR="00E7660E" w:rsidRPr="00EB3704" w:rsidRDefault="00E7660E" w:rsidP="00870EEC">
      <w:pPr>
        <w:keepNext/>
        <w:jc w:val="both"/>
        <w:rPr>
          <w:b/>
          <w:lang w:val="fr-CA"/>
        </w:rPr>
      </w:pPr>
    </w:p>
    <w:p w14:paraId="4647E201" w14:textId="7266D3E0" w:rsidR="005C0976" w:rsidRPr="00EB3704" w:rsidRDefault="00E7660E" w:rsidP="005C0976">
      <w:pPr>
        <w:jc w:val="both"/>
        <w:rPr>
          <w:rFonts w:eastAsia="Times New Roman"/>
          <w:lang w:val="fr-CA"/>
        </w:rPr>
      </w:pPr>
      <w:r w:rsidRPr="00EB3704">
        <w:rPr>
          <w:rFonts w:eastAsia="Arial"/>
          <w:lang w:val="fr-CA"/>
        </w:rPr>
        <w:t>Certains renseignements contenus dans ce communiqué constituent des « énoncés prospectifs » qui supposent des risques connus et inconnus, des incertitudes, des attentes futures et d</w:t>
      </w:r>
      <w:r w:rsidR="00E43E6D" w:rsidRPr="00EB3704">
        <w:rPr>
          <w:rFonts w:eastAsia="Arial"/>
          <w:lang w:val="fr-CA"/>
        </w:rPr>
        <w:t>’</w:t>
      </w:r>
      <w:r w:rsidRPr="00EB3704">
        <w:rPr>
          <w:rFonts w:eastAsia="Arial"/>
          <w:lang w:val="fr-CA"/>
        </w:rPr>
        <w:t>autres facteurs qui pourraient faire en sorte que la performance</w:t>
      </w:r>
      <w:r w:rsidR="00E43E6D" w:rsidRPr="00EB3704">
        <w:rPr>
          <w:rFonts w:eastAsia="Arial"/>
          <w:lang w:val="fr-CA"/>
        </w:rPr>
        <w:t>,</w:t>
      </w:r>
      <w:r w:rsidRPr="00EB3704">
        <w:rPr>
          <w:rFonts w:eastAsia="Arial"/>
          <w:lang w:val="fr-CA"/>
        </w:rPr>
        <w:t xml:space="preserve"> les réalisations</w:t>
      </w:r>
      <w:r w:rsidR="00E43E6D" w:rsidRPr="00EB3704">
        <w:rPr>
          <w:rFonts w:eastAsia="Arial"/>
          <w:lang w:val="fr-CA"/>
        </w:rPr>
        <w:t xml:space="preserve"> ou les résultats</w:t>
      </w:r>
      <w:r w:rsidRPr="00EB3704">
        <w:rPr>
          <w:rFonts w:eastAsia="Arial"/>
          <w:lang w:val="fr-CA"/>
        </w:rPr>
        <w:t xml:space="preserve"> </w:t>
      </w:r>
      <w:r w:rsidR="00E43E6D" w:rsidRPr="00EB3704">
        <w:rPr>
          <w:rFonts w:eastAsia="Arial"/>
          <w:lang w:val="fr-CA"/>
        </w:rPr>
        <w:t xml:space="preserve">réels </w:t>
      </w:r>
      <w:r w:rsidRPr="00EB3704">
        <w:rPr>
          <w:rFonts w:eastAsia="Arial"/>
          <w:lang w:val="fr-CA"/>
        </w:rPr>
        <w:t xml:space="preserve">de la Société </w:t>
      </w:r>
      <w:r w:rsidR="00E43E6D" w:rsidRPr="00EB3704">
        <w:rPr>
          <w:rFonts w:eastAsia="Arial"/>
          <w:lang w:val="fr-CA"/>
        </w:rPr>
        <w:t xml:space="preserve">diffèrent </w:t>
      </w:r>
      <w:r w:rsidR="00317282" w:rsidRPr="00EB3704">
        <w:rPr>
          <w:rFonts w:eastAsia="Arial"/>
          <w:lang w:val="fr-CA"/>
        </w:rPr>
        <w:t>substantiellement</w:t>
      </w:r>
      <w:r w:rsidRPr="00EB3704">
        <w:rPr>
          <w:rFonts w:eastAsia="Arial"/>
          <w:lang w:val="fr-CA"/>
        </w:rPr>
        <w:t xml:space="preserve"> de</w:t>
      </w:r>
      <w:r w:rsidR="00E43E6D" w:rsidRPr="00EB3704">
        <w:rPr>
          <w:rFonts w:eastAsia="Arial"/>
          <w:lang w:val="fr-CA"/>
        </w:rPr>
        <w:t xml:space="preserve"> ceux </w:t>
      </w:r>
      <w:r w:rsidR="00317282" w:rsidRPr="00EB3704">
        <w:rPr>
          <w:rFonts w:eastAsia="Arial"/>
          <w:lang w:val="fr-CA"/>
        </w:rPr>
        <w:t xml:space="preserve">que ces énoncés </w:t>
      </w:r>
      <w:r w:rsidRPr="00EB3704">
        <w:rPr>
          <w:rFonts w:eastAsia="Arial"/>
          <w:lang w:val="fr-CA"/>
        </w:rPr>
        <w:t>exprim</w:t>
      </w:r>
      <w:r w:rsidR="00317282" w:rsidRPr="00EB3704">
        <w:rPr>
          <w:rFonts w:eastAsia="Arial"/>
          <w:lang w:val="fr-CA"/>
        </w:rPr>
        <w:t>ent</w:t>
      </w:r>
      <w:r w:rsidRPr="00EB3704">
        <w:rPr>
          <w:rFonts w:eastAsia="Arial"/>
          <w:lang w:val="fr-CA"/>
        </w:rPr>
        <w:t xml:space="preserve"> ou </w:t>
      </w:r>
      <w:r w:rsidR="00E43E6D" w:rsidRPr="00EB3704">
        <w:rPr>
          <w:rFonts w:eastAsia="Arial"/>
          <w:lang w:val="fr-CA"/>
        </w:rPr>
        <w:t>sugg</w:t>
      </w:r>
      <w:r w:rsidR="00317282" w:rsidRPr="00EB3704">
        <w:rPr>
          <w:rFonts w:eastAsia="Arial"/>
          <w:lang w:val="fr-CA"/>
        </w:rPr>
        <w:t>èrent.</w:t>
      </w:r>
      <w:r w:rsidRPr="00EB3704">
        <w:rPr>
          <w:rFonts w:eastAsia="Arial"/>
          <w:lang w:val="fr-CA"/>
        </w:rPr>
        <w:t xml:space="preserve"> Lorsqu</w:t>
      </w:r>
      <w:r w:rsidR="00E43E6D" w:rsidRPr="00EB3704">
        <w:rPr>
          <w:rFonts w:eastAsia="Arial"/>
          <w:lang w:val="fr-CA"/>
        </w:rPr>
        <w:t>’</w:t>
      </w:r>
      <w:r w:rsidRPr="00EB3704">
        <w:rPr>
          <w:rFonts w:eastAsia="Arial"/>
          <w:lang w:val="fr-CA"/>
        </w:rPr>
        <w:t xml:space="preserve">ils sont utilisés dans ce communiqué, ces </w:t>
      </w:r>
      <w:r w:rsidR="00E43E6D" w:rsidRPr="00EB3704">
        <w:rPr>
          <w:rFonts w:eastAsia="Arial"/>
          <w:lang w:val="fr-CA"/>
        </w:rPr>
        <w:t xml:space="preserve">renseignements </w:t>
      </w:r>
      <w:r w:rsidRPr="00EB3704">
        <w:rPr>
          <w:rFonts w:eastAsia="Arial"/>
          <w:lang w:val="fr-CA"/>
        </w:rPr>
        <w:t xml:space="preserve">peuvent inclure des termes tels </w:t>
      </w:r>
      <w:r w:rsidR="00E43E6D" w:rsidRPr="00EB3704">
        <w:rPr>
          <w:rFonts w:eastAsia="Arial"/>
          <w:lang w:val="fr-CA"/>
        </w:rPr>
        <w:t>« </w:t>
      </w:r>
      <w:r w:rsidRPr="00EB3704">
        <w:rPr>
          <w:rFonts w:eastAsia="Arial"/>
          <w:lang w:val="fr-CA"/>
        </w:rPr>
        <w:t>anticiper</w:t>
      </w:r>
      <w:r w:rsidR="00E43E6D" w:rsidRPr="00EB3704">
        <w:rPr>
          <w:rFonts w:eastAsia="Arial"/>
          <w:lang w:val="fr-CA"/>
        </w:rPr>
        <w:t> »</w:t>
      </w:r>
      <w:r w:rsidRPr="00EB3704">
        <w:rPr>
          <w:rFonts w:eastAsia="Arial"/>
          <w:lang w:val="fr-CA"/>
        </w:rPr>
        <w:t xml:space="preserve">, </w:t>
      </w:r>
      <w:r w:rsidR="00E43E6D" w:rsidRPr="00EB3704">
        <w:rPr>
          <w:rFonts w:eastAsia="Arial"/>
          <w:lang w:val="fr-CA"/>
        </w:rPr>
        <w:t>« </w:t>
      </w:r>
      <w:r w:rsidRPr="00EB3704">
        <w:rPr>
          <w:rFonts w:eastAsia="Arial"/>
          <w:lang w:val="fr-CA"/>
        </w:rPr>
        <w:t>estimer</w:t>
      </w:r>
      <w:r w:rsidR="00E43E6D" w:rsidRPr="00EB3704">
        <w:rPr>
          <w:rFonts w:eastAsia="Arial"/>
          <w:lang w:val="fr-CA"/>
        </w:rPr>
        <w:t> »</w:t>
      </w:r>
      <w:r w:rsidRPr="00EB3704">
        <w:rPr>
          <w:rFonts w:eastAsia="Arial"/>
          <w:lang w:val="fr-CA"/>
        </w:rPr>
        <w:t xml:space="preserve">, </w:t>
      </w:r>
      <w:r w:rsidR="00E43E6D" w:rsidRPr="00EB3704">
        <w:rPr>
          <w:rFonts w:eastAsia="Arial"/>
          <w:lang w:val="fr-CA"/>
        </w:rPr>
        <w:t xml:space="preserve">« s’attendre à », </w:t>
      </w:r>
      <w:r w:rsidR="004A673F" w:rsidRPr="00EB3704">
        <w:rPr>
          <w:rFonts w:eastAsia="Arial"/>
          <w:lang w:val="fr-CA"/>
        </w:rPr>
        <w:t xml:space="preserve">« pouvoir », </w:t>
      </w:r>
      <w:r w:rsidR="00E43E6D" w:rsidRPr="00EB3704">
        <w:rPr>
          <w:rFonts w:eastAsia="Arial"/>
          <w:lang w:val="fr-CA"/>
        </w:rPr>
        <w:t>« croire </w:t>
      </w:r>
      <w:r w:rsidRPr="00EB3704">
        <w:rPr>
          <w:rFonts w:eastAsia="Arial"/>
          <w:lang w:val="fr-CA"/>
        </w:rPr>
        <w:t xml:space="preserve">», </w:t>
      </w:r>
      <w:r w:rsidR="00E43E6D" w:rsidRPr="00EB3704">
        <w:rPr>
          <w:rFonts w:eastAsia="Arial"/>
          <w:lang w:val="fr-CA"/>
        </w:rPr>
        <w:t>« planifier »</w:t>
      </w:r>
      <w:r w:rsidR="004A673F" w:rsidRPr="00EB3704">
        <w:rPr>
          <w:rFonts w:eastAsia="Arial"/>
          <w:lang w:val="fr-CA"/>
        </w:rPr>
        <w:t xml:space="preserve">, une conjugaison au futur ou au conditionnel, d’autres désinences de </w:t>
      </w:r>
      <w:r w:rsidRPr="00EB3704">
        <w:rPr>
          <w:rFonts w:eastAsia="Arial"/>
          <w:lang w:val="fr-CA"/>
        </w:rPr>
        <w:t xml:space="preserve">ces mots et expressions ou </w:t>
      </w:r>
      <w:r w:rsidR="004A673F" w:rsidRPr="00EB3704">
        <w:rPr>
          <w:rFonts w:eastAsia="Arial"/>
          <w:lang w:val="fr-CA"/>
        </w:rPr>
        <w:t xml:space="preserve">une formulation qui </w:t>
      </w:r>
      <w:r w:rsidRPr="00EB3704">
        <w:rPr>
          <w:rFonts w:eastAsia="Arial"/>
          <w:lang w:val="fr-CA"/>
        </w:rPr>
        <w:t>indique que certains actes</w:t>
      </w:r>
      <w:r w:rsidR="00E64EEC" w:rsidRPr="00EB3704">
        <w:rPr>
          <w:rFonts w:eastAsia="Arial"/>
          <w:lang w:val="fr-CA"/>
        </w:rPr>
        <w:t xml:space="preserve">, </w:t>
      </w:r>
      <w:r w:rsidRPr="00EB3704">
        <w:rPr>
          <w:rFonts w:eastAsia="Arial"/>
          <w:lang w:val="fr-CA"/>
        </w:rPr>
        <w:t>événements</w:t>
      </w:r>
      <w:r w:rsidR="00E64EEC" w:rsidRPr="00EB3704">
        <w:rPr>
          <w:rFonts w:eastAsia="Arial"/>
          <w:lang w:val="fr-CA"/>
        </w:rPr>
        <w:t xml:space="preserve"> ou résultats peuvent ou pourraient, selon le cas, se produire </w:t>
      </w:r>
      <w:r w:rsidRPr="00EB3704">
        <w:rPr>
          <w:rFonts w:eastAsia="Arial"/>
          <w:lang w:val="fr-CA"/>
        </w:rPr>
        <w:t xml:space="preserve">ou </w:t>
      </w:r>
      <w:r w:rsidR="00E64EEC" w:rsidRPr="00EB3704">
        <w:rPr>
          <w:rFonts w:eastAsia="Arial"/>
          <w:lang w:val="fr-CA"/>
        </w:rPr>
        <w:t xml:space="preserve">être </w:t>
      </w:r>
      <w:r w:rsidRPr="00EB3704">
        <w:rPr>
          <w:rFonts w:eastAsia="Arial"/>
          <w:lang w:val="fr-CA"/>
        </w:rPr>
        <w:t xml:space="preserve">atteints. En particulier, ce communiqué de presse contient des </w:t>
      </w:r>
      <w:r w:rsidR="00E64EEC" w:rsidRPr="00EB3704">
        <w:rPr>
          <w:rFonts w:eastAsia="Arial"/>
          <w:lang w:val="fr-CA"/>
        </w:rPr>
        <w:t>énoncés prospectifs</w:t>
      </w:r>
      <w:r w:rsidRPr="00EB3704">
        <w:rPr>
          <w:rFonts w:eastAsia="Arial"/>
          <w:lang w:val="fr-CA"/>
        </w:rPr>
        <w:t xml:space="preserve"> </w:t>
      </w:r>
      <w:r w:rsidR="00E64EEC" w:rsidRPr="00EB3704">
        <w:rPr>
          <w:rFonts w:eastAsia="Arial"/>
          <w:lang w:val="fr-CA"/>
        </w:rPr>
        <w:t xml:space="preserve">à l’égard </w:t>
      </w:r>
      <w:r w:rsidRPr="00EB3704">
        <w:rPr>
          <w:rFonts w:eastAsia="Arial"/>
          <w:lang w:val="fr-CA"/>
        </w:rPr>
        <w:t>d</w:t>
      </w:r>
      <w:r w:rsidR="00986CE6" w:rsidRPr="00EB3704">
        <w:rPr>
          <w:rFonts w:eastAsia="Arial"/>
          <w:lang w:val="fr-CA"/>
        </w:rPr>
        <w:t>e l’estimation d</w:t>
      </w:r>
      <w:r w:rsidR="00E64EEC" w:rsidRPr="00EB3704">
        <w:rPr>
          <w:rFonts w:eastAsia="Arial"/>
          <w:lang w:val="fr-CA"/>
        </w:rPr>
        <w:t>u chiffre d’affaires du réseau de l’entité fusionnée,</w:t>
      </w:r>
      <w:r w:rsidRPr="00EB3704">
        <w:rPr>
          <w:rFonts w:eastAsia="Arial"/>
          <w:lang w:val="fr-CA"/>
        </w:rPr>
        <w:t xml:space="preserve"> </w:t>
      </w:r>
      <w:r w:rsidR="00986CE6" w:rsidRPr="00EB3704">
        <w:rPr>
          <w:rFonts w:eastAsia="Arial"/>
          <w:lang w:val="fr-CA"/>
        </w:rPr>
        <w:t xml:space="preserve">de la croissance potentielle des activités </w:t>
      </w:r>
      <w:r w:rsidR="002F2ED3">
        <w:rPr>
          <w:rFonts w:eastAsia="Arial"/>
          <w:lang w:val="fr-CA"/>
        </w:rPr>
        <w:t>domestiques</w:t>
      </w:r>
      <w:bookmarkStart w:id="0" w:name="_GoBack"/>
      <w:bookmarkEnd w:id="0"/>
      <w:r w:rsidR="00986CE6" w:rsidRPr="00EB3704">
        <w:rPr>
          <w:rFonts w:eastAsia="Arial"/>
          <w:lang w:val="fr-CA"/>
        </w:rPr>
        <w:t xml:space="preserve"> et internationales de la Société, de l’incidence éventuelle de l’</w:t>
      </w:r>
      <w:r w:rsidRPr="00EB3704">
        <w:rPr>
          <w:rFonts w:eastAsia="Arial"/>
          <w:lang w:val="fr-CA"/>
        </w:rPr>
        <w:t xml:space="preserve">acquisition </w:t>
      </w:r>
      <w:r w:rsidR="00986CE6" w:rsidRPr="00EB3704">
        <w:rPr>
          <w:rFonts w:eastAsia="Arial"/>
          <w:lang w:val="fr-CA"/>
        </w:rPr>
        <w:t xml:space="preserve">de </w:t>
      </w:r>
      <w:r w:rsidR="00F56CBE">
        <w:rPr>
          <w:rFonts w:eastAsia="Arial"/>
          <w:lang w:val="fr-CA"/>
        </w:rPr>
        <w:t>LA DIPERIE</w:t>
      </w:r>
      <w:r w:rsidR="00986CE6" w:rsidRPr="00EB3704">
        <w:rPr>
          <w:rFonts w:eastAsia="Arial"/>
          <w:lang w:val="fr-CA"/>
        </w:rPr>
        <w:t xml:space="preserve"> sur la Société et ses actionnaires et </w:t>
      </w:r>
      <w:r w:rsidR="004B104C" w:rsidRPr="00EB3704">
        <w:rPr>
          <w:rFonts w:eastAsia="Arial"/>
          <w:lang w:val="fr-CA"/>
        </w:rPr>
        <w:t>de</w:t>
      </w:r>
      <w:r w:rsidR="00986CE6" w:rsidRPr="00EB3704">
        <w:rPr>
          <w:rFonts w:eastAsia="Arial"/>
          <w:lang w:val="fr-CA"/>
        </w:rPr>
        <w:t xml:space="preserve"> l</w:t>
      </w:r>
      <w:r w:rsidR="00F25A14" w:rsidRPr="00EB3704">
        <w:rPr>
          <w:rFonts w:eastAsia="Arial"/>
          <w:lang w:val="fr-CA"/>
        </w:rPr>
        <w:t xml:space="preserve">’emplacement du siège social </w:t>
      </w:r>
      <w:r w:rsidR="00986CE6" w:rsidRPr="00EB3704">
        <w:rPr>
          <w:rFonts w:eastAsia="Arial"/>
          <w:lang w:val="fr-CA"/>
        </w:rPr>
        <w:t xml:space="preserve">de MTY. </w:t>
      </w:r>
      <w:r w:rsidR="00F25A14" w:rsidRPr="00EB3704">
        <w:rPr>
          <w:rFonts w:eastAsia="Arial"/>
          <w:lang w:val="fr-CA"/>
        </w:rPr>
        <w:t>Ces énoncés prospectifs reflètent les attentes et les hypothèses qui visent des événements futurs et la performance opérationnelle à la</w:t>
      </w:r>
      <w:r w:rsidR="004B104C" w:rsidRPr="00EB3704">
        <w:rPr>
          <w:rFonts w:eastAsia="Arial"/>
          <w:lang w:val="fr-CA"/>
        </w:rPr>
        <w:t xml:space="preserve"> seule</w:t>
      </w:r>
      <w:r w:rsidR="00F25A14" w:rsidRPr="00EB3704">
        <w:rPr>
          <w:rFonts w:eastAsia="Arial"/>
          <w:lang w:val="fr-CA"/>
        </w:rPr>
        <w:t xml:space="preserve"> date de ce communiqué. Ces hypothèses comprennent, </w:t>
      </w:r>
      <w:r w:rsidR="004B104C" w:rsidRPr="00EB3704">
        <w:rPr>
          <w:rFonts w:eastAsia="Arial"/>
          <w:lang w:val="fr-CA"/>
        </w:rPr>
        <w:t>sans s’y limiter:</w:t>
      </w:r>
      <w:r w:rsidR="00F25A14" w:rsidRPr="00EB3704">
        <w:rPr>
          <w:rFonts w:eastAsia="Arial"/>
          <w:lang w:val="fr-CA"/>
        </w:rPr>
        <w:t xml:space="preserve"> les taux de change utilisés pour </w:t>
      </w:r>
      <w:r w:rsidR="004B104C" w:rsidRPr="00EB3704">
        <w:rPr>
          <w:rFonts w:eastAsia="Arial"/>
          <w:lang w:val="fr-CA"/>
        </w:rPr>
        <w:t>déterminer</w:t>
      </w:r>
      <w:r w:rsidR="00F25A14" w:rsidRPr="00EB3704">
        <w:rPr>
          <w:rFonts w:eastAsia="Arial"/>
          <w:lang w:val="fr-CA"/>
        </w:rPr>
        <w:t xml:space="preserve"> les résultats </w:t>
      </w:r>
      <w:r w:rsidR="004B104C" w:rsidRPr="00EB3704">
        <w:rPr>
          <w:rFonts w:eastAsia="Arial"/>
          <w:lang w:val="fr-CA"/>
        </w:rPr>
        <w:t xml:space="preserve">prospectifs </w:t>
      </w:r>
      <w:r w:rsidR="00F25A14" w:rsidRPr="00EB3704">
        <w:rPr>
          <w:rFonts w:eastAsia="Arial"/>
          <w:lang w:val="fr-CA"/>
        </w:rPr>
        <w:t>en dollars canadiens; l</w:t>
      </w:r>
      <w:r w:rsidR="004B104C" w:rsidRPr="00EB3704">
        <w:rPr>
          <w:rFonts w:eastAsia="Arial"/>
          <w:lang w:val="fr-CA"/>
        </w:rPr>
        <w:t>’</w:t>
      </w:r>
      <w:r w:rsidR="00F25A14" w:rsidRPr="00EB3704">
        <w:rPr>
          <w:rFonts w:eastAsia="Arial"/>
          <w:lang w:val="fr-CA"/>
        </w:rPr>
        <w:t>acceptation de l</w:t>
      </w:r>
      <w:r w:rsidR="004B104C" w:rsidRPr="00EB3704">
        <w:rPr>
          <w:rFonts w:eastAsia="Arial"/>
          <w:lang w:val="fr-CA"/>
        </w:rPr>
        <w:t>’</w:t>
      </w:r>
      <w:r w:rsidR="00F25A14" w:rsidRPr="00EB3704">
        <w:rPr>
          <w:rFonts w:eastAsia="Arial"/>
          <w:lang w:val="fr-CA"/>
        </w:rPr>
        <w:t xml:space="preserve">acquisition de </w:t>
      </w:r>
      <w:r w:rsidR="00F56CBE">
        <w:rPr>
          <w:rFonts w:eastAsia="Arial"/>
          <w:lang w:val="fr-CA"/>
        </w:rPr>
        <w:t>LA DIPERIE</w:t>
      </w:r>
      <w:r w:rsidR="00F25A14" w:rsidRPr="00EB3704">
        <w:rPr>
          <w:rFonts w:eastAsia="Arial"/>
          <w:lang w:val="fr-CA"/>
        </w:rPr>
        <w:t xml:space="preserve"> par le marché;</w:t>
      </w:r>
      <w:r w:rsidR="004B104C" w:rsidRPr="00EB3704">
        <w:rPr>
          <w:rFonts w:eastAsia="Arial"/>
          <w:lang w:val="fr-CA"/>
        </w:rPr>
        <w:t xml:space="preserve"> le fait que les résultats futurs des affaires et activités de </w:t>
      </w:r>
      <w:r w:rsidR="00F56CBE">
        <w:rPr>
          <w:rFonts w:eastAsia="Arial"/>
          <w:lang w:val="fr-CA"/>
        </w:rPr>
        <w:t>LA DIPERIE</w:t>
      </w:r>
      <w:r w:rsidR="004B104C" w:rsidRPr="00EB3704">
        <w:rPr>
          <w:rFonts w:eastAsia="Arial"/>
          <w:lang w:val="fr-CA"/>
        </w:rPr>
        <w:t xml:space="preserve"> correspondent à ses résultats historiques ou les surpassent; </w:t>
      </w:r>
      <w:r w:rsidR="00F25A14" w:rsidRPr="00EB3704">
        <w:rPr>
          <w:rFonts w:eastAsia="Arial"/>
          <w:lang w:val="fr-CA"/>
        </w:rPr>
        <w:t>le succès de l</w:t>
      </w:r>
      <w:r w:rsidR="005A1A83" w:rsidRPr="00EB3704">
        <w:rPr>
          <w:rFonts w:eastAsia="Arial"/>
          <w:lang w:val="fr-CA"/>
        </w:rPr>
        <w:t>’</w:t>
      </w:r>
      <w:r w:rsidR="00F25A14" w:rsidRPr="00EB3704">
        <w:rPr>
          <w:rFonts w:eastAsia="Arial"/>
          <w:lang w:val="fr-CA"/>
        </w:rPr>
        <w:t xml:space="preserve">intégration des </w:t>
      </w:r>
      <w:r w:rsidR="005A1A83" w:rsidRPr="00EB3704">
        <w:rPr>
          <w:rFonts w:eastAsia="Arial"/>
          <w:lang w:val="fr-CA"/>
        </w:rPr>
        <w:t xml:space="preserve">activités de </w:t>
      </w:r>
      <w:r w:rsidR="00F56CBE">
        <w:rPr>
          <w:rFonts w:eastAsia="Arial"/>
          <w:lang w:val="fr-CA"/>
        </w:rPr>
        <w:t>LA DIPERIE</w:t>
      </w:r>
      <w:r w:rsidR="005A1A83" w:rsidRPr="00EB3704">
        <w:rPr>
          <w:rFonts w:eastAsia="Arial"/>
          <w:lang w:val="fr-CA"/>
        </w:rPr>
        <w:t xml:space="preserve"> aux affaires et activités de </w:t>
      </w:r>
      <w:r w:rsidR="00F25A14" w:rsidRPr="00EB3704">
        <w:rPr>
          <w:rFonts w:eastAsia="Arial"/>
          <w:lang w:val="fr-CA"/>
        </w:rPr>
        <w:t>la Société; et l</w:t>
      </w:r>
      <w:r w:rsidR="005A1A83" w:rsidRPr="00EB3704">
        <w:rPr>
          <w:rFonts w:eastAsia="Arial"/>
          <w:lang w:val="fr-CA"/>
        </w:rPr>
        <w:t>’</w:t>
      </w:r>
      <w:r w:rsidR="00F25A14" w:rsidRPr="00EB3704">
        <w:rPr>
          <w:rFonts w:eastAsia="Arial"/>
          <w:lang w:val="fr-CA"/>
        </w:rPr>
        <w:t xml:space="preserve">acceptation </w:t>
      </w:r>
      <w:r w:rsidR="005A1A83" w:rsidRPr="00EB3704">
        <w:rPr>
          <w:rFonts w:eastAsia="Arial"/>
          <w:lang w:val="fr-CA"/>
        </w:rPr>
        <w:t>par</w:t>
      </w:r>
      <w:r w:rsidR="00F25A14" w:rsidRPr="00EB3704">
        <w:rPr>
          <w:rFonts w:eastAsia="Arial"/>
          <w:lang w:val="fr-CA"/>
        </w:rPr>
        <w:t xml:space="preserve"> le marché des futures acquisitions potentielles par la Société. </w:t>
      </w:r>
      <w:r w:rsidR="005A1A83" w:rsidRPr="00EB3704">
        <w:rPr>
          <w:rFonts w:eastAsia="Arial"/>
          <w:lang w:val="fr-CA"/>
        </w:rPr>
        <w:t>Les énoncés prospectifs sont soumis à</w:t>
      </w:r>
      <w:r w:rsidR="00F25A14" w:rsidRPr="00EB3704">
        <w:rPr>
          <w:rFonts w:eastAsia="Arial"/>
          <w:lang w:val="fr-CA"/>
        </w:rPr>
        <w:t xml:space="preserve"> des risques, </w:t>
      </w:r>
      <w:r w:rsidR="005A1A83" w:rsidRPr="00EB3704">
        <w:rPr>
          <w:rFonts w:eastAsia="Arial"/>
          <w:lang w:val="fr-CA"/>
        </w:rPr>
        <w:t xml:space="preserve">à </w:t>
      </w:r>
      <w:r w:rsidR="00F25A14" w:rsidRPr="00EB3704">
        <w:rPr>
          <w:rFonts w:eastAsia="Arial"/>
          <w:lang w:val="fr-CA"/>
        </w:rPr>
        <w:t xml:space="preserve">des incertitudes et </w:t>
      </w:r>
      <w:r w:rsidR="005A1A83" w:rsidRPr="00EB3704">
        <w:rPr>
          <w:rFonts w:eastAsia="Arial"/>
          <w:lang w:val="fr-CA"/>
        </w:rPr>
        <w:t xml:space="preserve">à </w:t>
      </w:r>
      <w:r w:rsidR="00F25A14" w:rsidRPr="00EB3704">
        <w:rPr>
          <w:rFonts w:eastAsia="Arial"/>
          <w:lang w:val="fr-CA"/>
        </w:rPr>
        <w:t>d</w:t>
      </w:r>
      <w:r w:rsidR="005A1A83" w:rsidRPr="00EB3704">
        <w:rPr>
          <w:rFonts w:eastAsia="Arial"/>
          <w:lang w:val="fr-CA"/>
        </w:rPr>
        <w:t>’</w:t>
      </w:r>
      <w:r w:rsidR="00F25A14" w:rsidRPr="00EB3704">
        <w:rPr>
          <w:rFonts w:eastAsia="Arial"/>
          <w:lang w:val="fr-CA"/>
        </w:rPr>
        <w:t>autres facteurs connus et inconnus qui pourraient faire en sorte que le niveau d</w:t>
      </w:r>
      <w:r w:rsidR="005A1A83" w:rsidRPr="00EB3704">
        <w:rPr>
          <w:rFonts w:eastAsia="Arial"/>
          <w:lang w:val="fr-CA"/>
        </w:rPr>
        <w:t>’</w:t>
      </w:r>
      <w:r w:rsidR="00F25A14" w:rsidRPr="00EB3704">
        <w:rPr>
          <w:rFonts w:eastAsia="Arial"/>
          <w:lang w:val="fr-CA"/>
        </w:rPr>
        <w:t>activité, la performance</w:t>
      </w:r>
      <w:r w:rsidR="005A1A83" w:rsidRPr="00EB3704">
        <w:rPr>
          <w:rFonts w:eastAsia="Arial"/>
          <w:lang w:val="fr-CA"/>
        </w:rPr>
        <w:t>,</w:t>
      </w:r>
      <w:r w:rsidR="00F25A14" w:rsidRPr="00EB3704">
        <w:rPr>
          <w:rFonts w:eastAsia="Arial"/>
          <w:lang w:val="fr-CA"/>
        </w:rPr>
        <w:t xml:space="preserve"> les réalisations </w:t>
      </w:r>
      <w:r w:rsidR="005A1A83" w:rsidRPr="00EB3704">
        <w:rPr>
          <w:rFonts w:eastAsia="Arial"/>
          <w:lang w:val="fr-CA"/>
        </w:rPr>
        <w:t xml:space="preserve">ou les résultats réels </w:t>
      </w:r>
      <w:r w:rsidR="00F25A14" w:rsidRPr="00EB3704">
        <w:rPr>
          <w:rFonts w:eastAsia="Arial"/>
          <w:lang w:val="fr-CA"/>
        </w:rPr>
        <w:t>de la Société</w:t>
      </w:r>
      <w:r w:rsidR="005A1A83" w:rsidRPr="00EB3704">
        <w:rPr>
          <w:rFonts w:eastAsia="Arial"/>
          <w:lang w:val="fr-CA"/>
        </w:rPr>
        <w:t xml:space="preserve"> s’écartent de façon importante de ceux exprimés ou suggérés par les énoncés prospectifs. De tels risque</w:t>
      </w:r>
      <w:r w:rsidR="00120AE8" w:rsidRPr="00EB3704">
        <w:rPr>
          <w:rFonts w:eastAsia="Arial"/>
          <w:lang w:val="fr-CA"/>
        </w:rPr>
        <w:t>s</w:t>
      </w:r>
      <w:r w:rsidR="005A1A83" w:rsidRPr="00EB3704">
        <w:rPr>
          <w:rFonts w:eastAsia="Arial"/>
          <w:lang w:val="fr-CA"/>
        </w:rPr>
        <w:t xml:space="preserve"> et d’autres facteurs peuvent inclure, sans s’y restreindre : les taux de change, l</w:t>
      </w:r>
      <w:r w:rsidR="00120AE8" w:rsidRPr="00EB3704">
        <w:rPr>
          <w:rFonts w:eastAsia="Arial"/>
          <w:lang w:val="fr-CA"/>
        </w:rPr>
        <w:t xml:space="preserve">a conjoncture et les incertitudes économiques, </w:t>
      </w:r>
      <w:r w:rsidR="005A1A83" w:rsidRPr="00EB3704">
        <w:rPr>
          <w:rFonts w:eastAsia="Arial"/>
          <w:lang w:val="fr-CA"/>
        </w:rPr>
        <w:t>concurrentielle</w:t>
      </w:r>
      <w:r w:rsidR="00120AE8" w:rsidRPr="00EB3704">
        <w:rPr>
          <w:rFonts w:eastAsia="Arial"/>
          <w:lang w:val="fr-CA"/>
        </w:rPr>
        <w:t>s, politiques et sociales</w:t>
      </w:r>
      <w:r w:rsidR="005A1A83" w:rsidRPr="00EB3704">
        <w:rPr>
          <w:rFonts w:eastAsia="Arial"/>
          <w:lang w:val="fr-CA"/>
        </w:rPr>
        <w:t xml:space="preserve"> générale</w:t>
      </w:r>
      <w:r w:rsidR="00120AE8" w:rsidRPr="00EB3704">
        <w:rPr>
          <w:rFonts w:eastAsia="Arial"/>
          <w:lang w:val="fr-CA"/>
        </w:rPr>
        <w:t xml:space="preserve">s de même que celles affectant le marché des capitaux, </w:t>
      </w:r>
      <w:r w:rsidR="00317282" w:rsidRPr="00EB3704">
        <w:rPr>
          <w:rFonts w:eastAsia="Times New Roman"/>
          <w:lang w:val="fr-CA"/>
        </w:rPr>
        <w:t xml:space="preserve">l’intensité des activités concurrentielles et leur incidence sur la capacité d’attirer la clientèle; notre capacité d’obtenir des emplacements avantageux et de renouveler les baux actuels à des taux acceptables; l’arrivée de concepts étrangers; la capacité d’attirer de nouveaux franchisés; les changements en matière de goûts de la clientèle, de tendances démographiques et quant à l’attrait de nos concepts; les changements à l’égard des profils d’achalandage ainsi que des coûts et taux d’occupation des centres commerciaux et tours de bureaux; les niveaux de confiance et de dépenses du consommateur; la demande et les prix de nos produits; notre capacité de mettre en œuvre nos stratégies et plans de manière à générer les profits attendus; les situations affectant la capacité de tiers fournisseurs de nous procurer des produits et services essentiels; la disponibilité et le coût de la main-d’œuvre ou la perte de personnes clés; la volatilité des marchés de valeurs; les contraintes opérationnelles ainsi que l’occurrence d’épidémies, de pandémies et d’autres risques pour la santé; le retard à recevoir les approbations réglementaires ou du conseil d’administration ou le défaut de telles approbations; les changements législatifs ayant une incidence sur la Société; </w:t>
      </w:r>
      <w:r w:rsidR="005C0976" w:rsidRPr="00EB3704">
        <w:rPr>
          <w:rFonts w:eastAsia="Times New Roman"/>
          <w:lang w:val="fr-CA"/>
        </w:rPr>
        <w:t xml:space="preserve">ainsi que la disponibilité de financement externe à des conditions acceptables et en temps opportun. Le chiffre d’affaires du réseau estimé pourrait varier en fonction des fluctuations des taux de change.  </w:t>
      </w:r>
    </w:p>
    <w:p w14:paraId="4EB62045" w14:textId="77777777" w:rsidR="005C0976" w:rsidRPr="00EB3704" w:rsidRDefault="005C0976" w:rsidP="005C0976">
      <w:pPr>
        <w:jc w:val="both"/>
        <w:rPr>
          <w:rFonts w:eastAsia="Times New Roman"/>
          <w:lang w:val="fr-CA"/>
        </w:rPr>
      </w:pPr>
    </w:p>
    <w:p w14:paraId="3C00E416" w14:textId="36DA8A58" w:rsidR="00DA33F4" w:rsidRPr="00EB3704" w:rsidRDefault="005C0976" w:rsidP="006008F7">
      <w:pPr>
        <w:jc w:val="both"/>
        <w:rPr>
          <w:lang w:val="fr-CA"/>
        </w:rPr>
      </w:pPr>
      <w:r w:rsidRPr="00EB3704">
        <w:rPr>
          <w:rFonts w:eastAsia="Times New Roman"/>
          <w:lang w:val="fr-CA"/>
        </w:rPr>
        <w:t>Une description d’autres hypothèses utilisées dans la formulation des énoncés prospectifs ainsi qu’une description de facteurs de risques additionnels susceptibles d’entraîner des écarts importants entre les résultats prospectifs et réels figurent dans les documents d’information continue de MTY disponibles sur le site Web de S</w:t>
      </w:r>
      <w:r w:rsidR="00870EEC" w:rsidRPr="00EB3704">
        <w:rPr>
          <w:rFonts w:eastAsia="Times New Roman"/>
          <w:lang w:val="fr-CA"/>
        </w:rPr>
        <w:t>EDAR</w:t>
      </w:r>
      <w:r w:rsidRPr="00EB3704">
        <w:rPr>
          <w:rFonts w:eastAsia="Times New Roman"/>
          <w:lang w:val="fr-CA"/>
        </w:rPr>
        <w:t xml:space="preserve"> : www.sedar.com. Le lecteur est avisé de </w:t>
      </w:r>
      <w:r w:rsidRPr="00EB3704">
        <w:rPr>
          <w:rFonts w:eastAsia="Times New Roman"/>
          <w:lang w:val="fr-CA"/>
        </w:rPr>
        <w:lastRenderedPageBreak/>
        <w:t xml:space="preserve">ne pas accorder une confiance indue aux énoncés prospectifs puisque rien ne garantit </w:t>
      </w:r>
      <w:r w:rsidR="00B21EF9" w:rsidRPr="00EB3704">
        <w:rPr>
          <w:rFonts w:eastAsia="Times New Roman"/>
          <w:lang w:val="fr-CA"/>
        </w:rPr>
        <w:t xml:space="preserve">que les projets, intentions ou attentes qu’ils décrivent se réaliseront. Cet avertissement vise expressément les énoncés prospectifs que contient ce communiqué. La Société n’a aucune obligation de réviser ou de mettre à jour les énoncés prospectifs si ce n’est en vertu de la loi. Les </w:t>
      </w:r>
      <w:r w:rsidR="00870EEC" w:rsidRPr="00EB3704">
        <w:rPr>
          <w:rFonts w:eastAsia="Times New Roman"/>
          <w:lang w:val="fr-CA"/>
        </w:rPr>
        <w:t>renseignements</w:t>
      </w:r>
      <w:r w:rsidR="00B21EF9" w:rsidRPr="00EB3704">
        <w:rPr>
          <w:rFonts w:eastAsia="Times New Roman"/>
          <w:lang w:val="fr-CA"/>
        </w:rPr>
        <w:t xml:space="preserve"> financiers qui figurent dans ce communiqué ont été approuvés par la direction de la Société le </w:t>
      </w:r>
      <w:r w:rsidR="00F56CBE">
        <w:rPr>
          <w:rFonts w:eastAsia="Times New Roman"/>
          <w:lang w:val="fr-CA"/>
        </w:rPr>
        <w:t>9 décembre</w:t>
      </w:r>
      <w:r w:rsidR="00EB101B">
        <w:rPr>
          <w:rFonts w:eastAsia="Times New Roman"/>
          <w:lang w:val="fr-CA"/>
        </w:rPr>
        <w:t xml:space="preserve"> </w:t>
      </w:r>
      <w:r w:rsidR="0084219B" w:rsidRPr="00EB3704">
        <w:rPr>
          <w:rFonts w:eastAsia="Times New Roman"/>
          <w:lang w:val="fr-CA"/>
        </w:rPr>
        <w:t>2016</w:t>
      </w:r>
      <w:r w:rsidR="00F44216" w:rsidRPr="00EB3704">
        <w:rPr>
          <w:rFonts w:eastAsia="Times New Roman"/>
          <w:lang w:val="fr-CA"/>
        </w:rPr>
        <w:t> </w:t>
      </w:r>
      <w:r w:rsidR="0084219B" w:rsidRPr="00EB3704">
        <w:rPr>
          <w:rFonts w:eastAsia="Times New Roman"/>
          <w:lang w:val="fr-CA"/>
        </w:rPr>
        <w:t>;</w:t>
      </w:r>
      <w:r w:rsidR="00B21EF9" w:rsidRPr="00EB3704">
        <w:rPr>
          <w:rFonts w:eastAsia="Times New Roman"/>
          <w:lang w:val="fr-CA"/>
        </w:rPr>
        <w:t xml:space="preserve"> </w:t>
      </w:r>
      <w:r w:rsidR="00870EEC" w:rsidRPr="00EB3704">
        <w:rPr>
          <w:rFonts w:eastAsia="Times New Roman"/>
          <w:lang w:val="fr-CA"/>
        </w:rPr>
        <w:t>ils</w:t>
      </w:r>
      <w:r w:rsidR="00B21EF9" w:rsidRPr="00EB3704">
        <w:rPr>
          <w:rFonts w:eastAsia="Times New Roman"/>
          <w:lang w:val="fr-CA"/>
        </w:rPr>
        <w:t xml:space="preserve"> ne visent qu’à </w:t>
      </w:r>
      <w:r w:rsidR="00870EEC" w:rsidRPr="00EB3704">
        <w:rPr>
          <w:rFonts w:eastAsia="Times New Roman"/>
          <w:lang w:val="fr-CA"/>
        </w:rPr>
        <w:t>donner</w:t>
      </w:r>
      <w:r w:rsidR="00B21EF9" w:rsidRPr="00EB3704">
        <w:rPr>
          <w:rFonts w:eastAsia="Times New Roman"/>
          <w:lang w:val="fr-CA"/>
        </w:rPr>
        <w:t xml:space="preserve"> un aperçu d</w:t>
      </w:r>
      <w:r w:rsidR="00870EEC" w:rsidRPr="00EB3704">
        <w:rPr>
          <w:rFonts w:eastAsia="Times New Roman"/>
          <w:lang w:val="fr-CA"/>
        </w:rPr>
        <w:t>u potentiel de l’entité résultante et ils pourraient être inadéquats à d’autres fins.</w:t>
      </w:r>
      <w:r w:rsidR="00B21EF9" w:rsidRPr="00EB3704">
        <w:rPr>
          <w:rFonts w:eastAsia="Times New Roman"/>
          <w:lang w:val="fr-CA"/>
        </w:rPr>
        <w:t xml:space="preserve"> </w:t>
      </w:r>
      <w:r w:rsidR="00870EEC" w:rsidRPr="00EB3704">
        <w:rPr>
          <w:rFonts w:eastAsia="Times New Roman"/>
          <w:lang w:val="fr-CA"/>
        </w:rPr>
        <w:t xml:space="preserve">Des renseignements additionnels sont disponibles dans les rapports de gestion de la Société disponibles sur le site Web de SEDAR, </w:t>
      </w:r>
      <w:hyperlink r:id="rId7" w:history="1">
        <w:r w:rsidR="00C50197" w:rsidRPr="00EB3704">
          <w:rPr>
            <w:color w:val="0000FF"/>
            <w:u w:val="single"/>
            <w:lang w:val="fr-CA"/>
          </w:rPr>
          <w:t>www.sedar.com</w:t>
        </w:r>
      </w:hyperlink>
      <w:r w:rsidR="00C50197" w:rsidRPr="00EB3704">
        <w:rPr>
          <w:lang w:val="fr-CA"/>
        </w:rPr>
        <w:t xml:space="preserve">. </w:t>
      </w:r>
    </w:p>
    <w:p w14:paraId="093B04D9" w14:textId="77777777" w:rsidR="00870EEC" w:rsidRPr="00EB3704" w:rsidRDefault="00870EEC" w:rsidP="006008F7">
      <w:pPr>
        <w:jc w:val="both"/>
        <w:rPr>
          <w:lang w:val="fr-CA"/>
        </w:rPr>
      </w:pPr>
    </w:p>
    <w:p w14:paraId="3835BF0A" w14:textId="77777777" w:rsidR="00870EEC" w:rsidRPr="00EB3704" w:rsidRDefault="00870EEC" w:rsidP="006008F7">
      <w:pPr>
        <w:jc w:val="both"/>
        <w:rPr>
          <w:lang w:val="fr-CA"/>
        </w:rPr>
      </w:pPr>
      <w:r w:rsidRPr="00EB3704">
        <w:rPr>
          <w:lang w:val="fr-CA"/>
        </w:rPr>
        <w:t>Au nom du conseil d’administration de Groupe d’Alimentation MTY inc.</w:t>
      </w:r>
    </w:p>
    <w:p w14:paraId="00EEC40B" w14:textId="77777777" w:rsidR="00DA33F4" w:rsidRPr="00EB3704" w:rsidRDefault="00DA33F4" w:rsidP="006008F7">
      <w:pPr>
        <w:pStyle w:val="Heading1"/>
        <w:spacing w:line="240" w:lineRule="atLeast"/>
        <w:ind w:firstLine="360"/>
        <w:rPr>
          <w:rFonts w:eastAsia="Times New Roman"/>
          <w:lang w:val="fr-CA"/>
        </w:rPr>
      </w:pPr>
    </w:p>
    <w:p w14:paraId="62E39291" w14:textId="77777777" w:rsidR="00DA33F4" w:rsidRPr="00EB3704" w:rsidRDefault="00C50197" w:rsidP="00870EEC">
      <w:pPr>
        <w:spacing w:line="240" w:lineRule="atLeast"/>
        <w:jc w:val="both"/>
        <w:rPr>
          <w:b/>
          <w:bCs/>
          <w:lang w:val="fr-CA"/>
        </w:rPr>
      </w:pPr>
      <w:r w:rsidRPr="00EB3704">
        <w:rPr>
          <w:b/>
          <w:bCs/>
          <w:lang w:val="fr-CA"/>
        </w:rPr>
        <w:t xml:space="preserve">_____________________________________ </w:t>
      </w:r>
    </w:p>
    <w:p w14:paraId="4F7AA3D6" w14:textId="77777777" w:rsidR="00870EEC" w:rsidRPr="00EB3704" w:rsidRDefault="00C50197" w:rsidP="00870EEC">
      <w:pPr>
        <w:spacing w:line="240" w:lineRule="atLeast"/>
        <w:jc w:val="both"/>
        <w:rPr>
          <w:lang w:val="fr-CA"/>
        </w:rPr>
      </w:pPr>
      <w:r w:rsidRPr="00EB3704">
        <w:rPr>
          <w:lang w:val="fr-CA"/>
        </w:rPr>
        <w:t xml:space="preserve">Stanley Ma, </w:t>
      </w:r>
      <w:r w:rsidR="00870EEC" w:rsidRPr="00EB3704">
        <w:rPr>
          <w:lang w:val="fr-CA"/>
        </w:rPr>
        <w:t>président du conseil</w:t>
      </w:r>
    </w:p>
    <w:p w14:paraId="2EEC21E9" w14:textId="77777777" w:rsidR="00DA33F4" w:rsidRPr="00EB3704" w:rsidRDefault="00870EEC" w:rsidP="00870EEC">
      <w:pPr>
        <w:spacing w:line="240" w:lineRule="atLeast"/>
        <w:jc w:val="both"/>
        <w:rPr>
          <w:lang w:val="fr-CA"/>
        </w:rPr>
      </w:pPr>
      <w:r w:rsidRPr="00EB3704">
        <w:rPr>
          <w:lang w:val="fr-CA"/>
        </w:rPr>
        <w:t xml:space="preserve">Président et chef de la direction </w:t>
      </w:r>
    </w:p>
    <w:p w14:paraId="33DDA0F7" w14:textId="77777777" w:rsidR="00DA33F4" w:rsidRPr="00EB3704" w:rsidRDefault="00DA33F4" w:rsidP="00870EEC">
      <w:pPr>
        <w:spacing w:line="240" w:lineRule="atLeast"/>
        <w:jc w:val="both"/>
        <w:rPr>
          <w:lang w:val="fr-CA"/>
        </w:rPr>
      </w:pPr>
    </w:p>
    <w:p w14:paraId="5874FBD8" w14:textId="77777777" w:rsidR="00DA33F4" w:rsidRPr="00EB3704" w:rsidRDefault="00870EEC" w:rsidP="006008F7">
      <w:pPr>
        <w:spacing w:line="240" w:lineRule="atLeast"/>
        <w:jc w:val="both"/>
        <w:rPr>
          <w:lang w:val="fr-CA"/>
        </w:rPr>
      </w:pPr>
      <w:r w:rsidRPr="00EB3704">
        <w:rPr>
          <w:lang w:val="fr-CA"/>
        </w:rPr>
        <w:t>Pour plus d’information, veuillez contacter É</w:t>
      </w:r>
      <w:r w:rsidR="00C50197" w:rsidRPr="00EB3704">
        <w:rPr>
          <w:lang w:val="fr-CA"/>
        </w:rPr>
        <w:t>ric Lefebvre,</w:t>
      </w:r>
      <w:r w:rsidRPr="00EB3704">
        <w:rPr>
          <w:lang w:val="fr-CA"/>
        </w:rPr>
        <w:t xml:space="preserve"> chef de la direction financière, au</w:t>
      </w:r>
      <w:r w:rsidR="00C50197" w:rsidRPr="00EB3704">
        <w:rPr>
          <w:lang w:val="fr-CA"/>
        </w:rPr>
        <w:t xml:space="preserve"> 1-514-336-8885</w:t>
      </w:r>
      <w:r w:rsidRPr="00EB3704">
        <w:rPr>
          <w:lang w:val="fr-CA"/>
        </w:rPr>
        <w:t>, poste</w:t>
      </w:r>
      <w:r w:rsidR="00C50197" w:rsidRPr="00EB3704">
        <w:rPr>
          <w:lang w:val="fr-CA"/>
        </w:rPr>
        <w:t xml:space="preserve"> 288</w:t>
      </w:r>
      <w:r w:rsidRPr="00EB3704">
        <w:rPr>
          <w:lang w:val="fr-CA"/>
        </w:rPr>
        <w:t>, nous transmettre un courriel à</w:t>
      </w:r>
      <w:r w:rsidR="00C50197" w:rsidRPr="00EB3704">
        <w:rPr>
          <w:lang w:val="fr-CA"/>
        </w:rPr>
        <w:t xml:space="preserve"> </w:t>
      </w:r>
      <w:hyperlink r:id="rId8" w:history="1">
        <w:r w:rsidR="00C50197" w:rsidRPr="00EB3704">
          <w:rPr>
            <w:rStyle w:val="Hyperlink"/>
            <w:lang w:val="fr-CA"/>
          </w:rPr>
          <w:t>ir@mtygroup.com</w:t>
        </w:r>
      </w:hyperlink>
      <w:r w:rsidRPr="00EB3704">
        <w:rPr>
          <w:lang w:val="fr-CA"/>
        </w:rPr>
        <w:t xml:space="preserve"> ou visiter notre site Web,</w:t>
      </w:r>
      <w:r w:rsidR="00C50197" w:rsidRPr="00EB3704">
        <w:rPr>
          <w:lang w:val="fr-CA"/>
        </w:rPr>
        <w:t xml:space="preserve"> </w:t>
      </w:r>
      <w:hyperlink r:id="rId9" w:history="1">
        <w:r w:rsidR="00C50197" w:rsidRPr="00EB3704">
          <w:rPr>
            <w:rStyle w:val="Hyperlink"/>
            <w:lang w:val="fr-CA"/>
          </w:rPr>
          <w:t>www.mtygroup.com</w:t>
        </w:r>
      </w:hyperlink>
      <w:r w:rsidRPr="00EB3704">
        <w:rPr>
          <w:lang w:val="fr-CA"/>
        </w:rPr>
        <w:t>, ou le site</w:t>
      </w:r>
      <w:r w:rsidR="00C50197" w:rsidRPr="00EB3704">
        <w:rPr>
          <w:lang w:val="fr-CA"/>
        </w:rPr>
        <w:t xml:space="preserve"> </w:t>
      </w:r>
      <w:r w:rsidRPr="00EB3704">
        <w:rPr>
          <w:lang w:val="fr-CA"/>
        </w:rPr>
        <w:t xml:space="preserve">de </w:t>
      </w:r>
      <w:r w:rsidR="00C50197" w:rsidRPr="00EB3704">
        <w:rPr>
          <w:lang w:val="fr-CA"/>
        </w:rPr>
        <w:t>SEDAR</w:t>
      </w:r>
      <w:r w:rsidRPr="00EB3704">
        <w:rPr>
          <w:lang w:val="fr-CA"/>
        </w:rPr>
        <w:t xml:space="preserve">, </w:t>
      </w:r>
      <w:hyperlink r:id="rId10" w:history="1">
        <w:r w:rsidR="00C50197" w:rsidRPr="00EB3704">
          <w:rPr>
            <w:rStyle w:val="Hyperlink"/>
            <w:lang w:val="fr-CA"/>
          </w:rPr>
          <w:t>www.sedar.com</w:t>
        </w:r>
      </w:hyperlink>
      <w:r w:rsidRPr="00EB3704">
        <w:rPr>
          <w:lang w:val="fr-CA"/>
        </w:rPr>
        <w:t>, sous le nom de la Société</w:t>
      </w:r>
      <w:r w:rsidR="00C50197" w:rsidRPr="00EB3704">
        <w:rPr>
          <w:lang w:val="fr-CA"/>
        </w:rPr>
        <w:t>.</w:t>
      </w:r>
    </w:p>
    <w:sectPr w:rsidR="00DA33F4" w:rsidRPr="00EB3704" w:rsidSect="006008F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FBD9" w14:textId="77777777" w:rsidR="003A2223" w:rsidRDefault="003A2223">
      <w:r>
        <w:separator/>
      </w:r>
    </w:p>
  </w:endnote>
  <w:endnote w:type="continuationSeparator" w:id="0">
    <w:p w14:paraId="356E0D55" w14:textId="77777777" w:rsidR="003A2223" w:rsidRDefault="003A2223">
      <w:r>
        <w:continuationSeparator/>
      </w:r>
    </w:p>
  </w:endnote>
  <w:endnote w:type="continuationNotice" w:id="1">
    <w:p w14:paraId="0B7CF0C7" w14:textId="77777777" w:rsidR="003A2223" w:rsidRDefault="003A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10B5" w14:textId="77777777" w:rsidR="00EB101B" w:rsidRDefault="00EB1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F773" w14:textId="77777777" w:rsidR="00DA33F4" w:rsidRDefault="00C50197">
    <w:pPr>
      <w:pStyle w:val="Footer"/>
    </w:pPr>
    <w:r>
      <w:rPr>
        <w:rStyle w:val="DocID"/>
      </w:rPr>
      <w:t>CAN: 22315938.2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817D" w14:textId="77777777" w:rsidR="00EB101B" w:rsidRDefault="00EB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2889" w14:textId="77777777" w:rsidR="003A2223" w:rsidRDefault="003A2223">
      <w:r>
        <w:separator/>
      </w:r>
    </w:p>
  </w:footnote>
  <w:footnote w:type="continuationSeparator" w:id="0">
    <w:p w14:paraId="65BEB736" w14:textId="77777777" w:rsidR="003A2223" w:rsidRDefault="003A2223">
      <w:r>
        <w:continuationSeparator/>
      </w:r>
    </w:p>
  </w:footnote>
  <w:footnote w:type="continuationNotice" w:id="1">
    <w:p w14:paraId="6E02020F" w14:textId="77777777" w:rsidR="003A2223" w:rsidRDefault="003A2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2D5F" w14:textId="77777777" w:rsidR="00EB101B" w:rsidRDefault="00EB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A7A1" w14:textId="7AEA8E04" w:rsidR="00EB101B" w:rsidRDefault="00EB1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25B5" w14:textId="77777777" w:rsidR="00EB101B" w:rsidRDefault="00EB1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F4"/>
    <w:rsid w:val="00083456"/>
    <w:rsid w:val="000A327B"/>
    <w:rsid w:val="00120AE8"/>
    <w:rsid w:val="00120ED7"/>
    <w:rsid w:val="001E0B8C"/>
    <w:rsid w:val="002F2ED3"/>
    <w:rsid w:val="00317282"/>
    <w:rsid w:val="003312B5"/>
    <w:rsid w:val="00335F76"/>
    <w:rsid w:val="003A2223"/>
    <w:rsid w:val="003F4926"/>
    <w:rsid w:val="0043574A"/>
    <w:rsid w:val="004A673F"/>
    <w:rsid w:val="004B104C"/>
    <w:rsid w:val="0051754D"/>
    <w:rsid w:val="005A1A83"/>
    <w:rsid w:val="005C0976"/>
    <w:rsid w:val="005D297A"/>
    <w:rsid w:val="005E3161"/>
    <w:rsid w:val="006008F7"/>
    <w:rsid w:val="00616718"/>
    <w:rsid w:val="006A6798"/>
    <w:rsid w:val="0084219B"/>
    <w:rsid w:val="00870EEC"/>
    <w:rsid w:val="00903580"/>
    <w:rsid w:val="00986CE6"/>
    <w:rsid w:val="00AF2CC9"/>
    <w:rsid w:val="00AF2D14"/>
    <w:rsid w:val="00AF3C31"/>
    <w:rsid w:val="00B11589"/>
    <w:rsid w:val="00B21EF9"/>
    <w:rsid w:val="00B34774"/>
    <w:rsid w:val="00B74673"/>
    <w:rsid w:val="00BF0497"/>
    <w:rsid w:val="00C132BB"/>
    <w:rsid w:val="00C50197"/>
    <w:rsid w:val="00CB331F"/>
    <w:rsid w:val="00D57DDD"/>
    <w:rsid w:val="00D745E5"/>
    <w:rsid w:val="00DA33F4"/>
    <w:rsid w:val="00DD36E9"/>
    <w:rsid w:val="00DF3B54"/>
    <w:rsid w:val="00E43E6D"/>
    <w:rsid w:val="00E512D8"/>
    <w:rsid w:val="00E64EEC"/>
    <w:rsid w:val="00E7660E"/>
    <w:rsid w:val="00EB101B"/>
    <w:rsid w:val="00EB3704"/>
    <w:rsid w:val="00EC4A21"/>
    <w:rsid w:val="00F25A14"/>
    <w:rsid w:val="00F44216"/>
    <w:rsid w:val="00F56C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7ADB62"/>
  <w15:docId w15:val="{7770A249-4D27-489B-B1FE-6669B8E8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rPr>
  </w:style>
  <w:style w:type="paragraph" w:styleId="Heading1">
    <w:name w:val="heading 1"/>
    <w:basedOn w:val="Normal"/>
    <w:link w:val="Heading1Char"/>
    <w:uiPriority w:val="9"/>
    <w:qFormat/>
    <w:pPr>
      <w:keepNext/>
      <w:jc w:val="both"/>
      <w:outlineLvl w:val="0"/>
    </w:pPr>
    <w:rPr>
      <w:b/>
      <w:bCs/>
      <w:kern w:val="36"/>
      <w:lang w:val="x-none"/>
    </w:rPr>
  </w:style>
  <w:style w:type="paragraph" w:styleId="Heading2">
    <w:name w:val="heading 2"/>
    <w:basedOn w:val="Normal"/>
    <w:link w:val="Heading2Char"/>
    <w:uiPriority w:val="9"/>
    <w:qFormat/>
    <w:pPr>
      <w:keepNext/>
      <w:spacing w:line="240" w:lineRule="atLeast"/>
      <w:jc w:val="both"/>
      <w:outlineLvl w:val="1"/>
    </w:pPr>
    <w:rPr>
      <w:rFonts w:ascii="Book Antiqua" w:hAnsi="Book Antiqua"/>
      <w:b/>
      <w:bCs/>
      <w:spacing w:val="-3"/>
      <w:lang w:val="x-none"/>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hAnsi="Times New Roman" w:cs="Times New Roman"/>
      <w:b/>
      <w:bCs/>
      <w:kern w:val="36"/>
      <w:sz w:val="20"/>
      <w:szCs w:val="20"/>
      <w:lang w:eastAsia="en-CA"/>
    </w:rPr>
  </w:style>
  <w:style w:type="character" w:customStyle="1" w:styleId="Heading2Char">
    <w:name w:val="Heading 2 Char"/>
    <w:link w:val="Heading2"/>
    <w:uiPriority w:val="9"/>
    <w:semiHidden/>
    <w:rPr>
      <w:rFonts w:ascii="Book Antiqua" w:hAnsi="Book Antiqua" w:cs="Times New Roman"/>
      <w:b/>
      <w:bCs/>
      <w:spacing w:val="-3"/>
      <w:lang w:eastAsia="en-CA"/>
    </w:rPr>
  </w:style>
  <w:style w:type="character" w:styleId="Hyperlink">
    <w:name w:val="Hyperlink"/>
    <w:uiPriority w:val="99"/>
    <w:unhideWhenUsed/>
    <w:rPr>
      <w:color w:val="0000FF"/>
      <w:u w:val="single"/>
    </w:rPr>
  </w:style>
  <w:style w:type="paragraph" w:styleId="BodyTextIndent">
    <w:name w:val="Body Text Indent"/>
    <w:basedOn w:val="Normal"/>
    <w:link w:val="BodyTextIndentChar"/>
    <w:uiPriority w:val="99"/>
    <w:semiHidden/>
    <w:unhideWhenUsed/>
    <w:pPr>
      <w:spacing w:line="240" w:lineRule="atLeast"/>
      <w:ind w:left="270" w:hanging="270"/>
      <w:jc w:val="both"/>
    </w:pPr>
    <w:rPr>
      <w:rFonts w:ascii="Book Antiqua" w:hAnsi="Book Antiqua"/>
      <w:spacing w:val="-3"/>
      <w:lang w:val="x-none"/>
    </w:rPr>
  </w:style>
  <w:style w:type="character" w:customStyle="1" w:styleId="BodyTextIndentChar">
    <w:name w:val="Body Text Indent Char"/>
    <w:link w:val="BodyTextIndent"/>
    <w:uiPriority w:val="99"/>
    <w:semiHidden/>
    <w:rPr>
      <w:rFonts w:ascii="Book Antiqua" w:hAnsi="Book Antiqua" w:cs="Times New Roman"/>
      <w:spacing w:val="-3"/>
      <w:sz w:val="20"/>
      <w:szCs w:val="20"/>
      <w:lang w:eastAsia="en-CA"/>
    </w:rPr>
  </w:style>
  <w:style w:type="paragraph" w:customStyle="1" w:styleId="letterform">
    <w:name w:val="letterform"/>
    <w:basedOn w:val="Normal"/>
    <w:uiPriority w:val="99"/>
    <w:pPr>
      <w:autoSpaceDE w:val="0"/>
      <w:autoSpaceDN w:val="0"/>
      <w:spacing w:line="240" w:lineRule="atLeast"/>
      <w:jc w:val="both"/>
    </w:pPr>
    <w:rPr>
      <w:rFonts w:ascii="CG Times" w:hAnsi="CG Times"/>
      <w:spacing w:val="-3"/>
      <w:sz w:val="24"/>
      <w:szCs w:val="24"/>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lang w:val="en-CA" w:eastAsia="en-C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lang w:val="en-CA" w:eastAsia="en-CA"/>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DocID">
    <w:name w:val="DocID"/>
    <w:basedOn w:val="DefaultParagraphFont"/>
    <w:rPr>
      <w:rFonts w:ascii="Arial" w:hAnsi="Arial" w:cs="Arial"/>
      <w:b w:val="0"/>
      <w:bCs/>
      <w:i w:val="0"/>
      <w:caps w:val="0"/>
      <w:smallCaps/>
      <w:vanish w:val="0"/>
      <w:color w:val="000000"/>
      <w:spacing w:val="-4"/>
      <w:sz w:val="1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736">
      <w:bodyDiv w:val="1"/>
      <w:marLeft w:val="0"/>
      <w:marRight w:val="0"/>
      <w:marTop w:val="0"/>
      <w:marBottom w:val="0"/>
      <w:divBdr>
        <w:top w:val="none" w:sz="0" w:space="0" w:color="auto"/>
        <w:left w:val="none" w:sz="0" w:space="0" w:color="auto"/>
        <w:bottom w:val="none" w:sz="0" w:space="0" w:color="auto"/>
        <w:right w:val="none" w:sz="0" w:space="0" w:color="auto"/>
      </w:divBdr>
    </w:div>
    <w:div w:id="390424855">
      <w:bodyDiv w:val="1"/>
      <w:marLeft w:val="0"/>
      <w:marRight w:val="0"/>
      <w:marTop w:val="0"/>
      <w:marBottom w:val="0"/>
      <w:divBdr>
        <w:top w:val="none" w:sz="0" w:space="0" w:color="auto"/>
        <w:left w:val="none" w:sz="0" w:space="0" w:color="auto"/>
        <w:bottom w:val="none" w:sz="0" w:space="0" w:color="auto"/>
        <w:right w:val="none" w:sz="0" w:space="0" w:color="auto"/>
      </w:divBdr>
    </w:div>
    <w:div w:id="737871298">
      <w:bodyDiv w:val="1"/>
      <w:marLeft w:val="0"/>
      <w:marRight w:val="0"/>
      <w:marTop w:val="0"/>
      <w:marBottom w:val="0"/>
      <w:divBdr>
        <w:top w:val="none" w:sz="0" w:space="0" w:color="auto"/>
        <w:left w:val="none" w:sz="0" w:space="0" w:color="auto"/>
        <w:bottom w:val="none" w:sz="0" w:space="0" w:color="auto"/>
        <w:right w:val="none" w:sz="0" w:space="0" w:color="auto"/>
      </w:divBdr>
    </w:div>
    <w:div w:id="10017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tygroup.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dar.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ladiperi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edar.com" TargetMode="External"/><Relationship Id="rId4" Type="http://schemas.openxmlformats.org/officeDocument/2006/relationships/footnotes" Target="footnotes.xml"/><Relationship Id="rId9" Type="http://schemas.openxmlformats.org/officeDocument/2006/relationships/hyperlink" Target="http://www.mtygrou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6344</CharactersWithSpaces>
  <SharedDoc>false</SharedDoc>
  <HyperlinkBase/>
  <HLinks>
    <vt:vector size="30" baseType="variant">
      <vt:variant>
        <vt:i4>4194325</vt:i4>
      </vt:variant>
      <vt:variant>
        <vt:i4>12</vt:i4>
      </vt:variant>
      <vt:variant>
        <vt:i4>0</vt:i4>
      </vt:variant>
      <vt:variant>
        <vt:i4>5</vt:i4>
      </vt:variant>
      <vt:variant>
        <vt:lpwstr>http://www.sedar.com/</vt:lpwstr>
      </vt:variant>
      <vt:variant>
        <vt:lpwstr/>
      </vt:variant>
      <vt:variant>
        <vt:i4>5636178</vt:i4>
      </vt:variant>
      <vt:variant>
        <vt:i4>9</vt:i4>
      </vt:variant>
      <vt:variant>
        <vt:i4>0</vt:i4>
      </vt:variant>
      <vt:variant>
        <vt:i4>5</vt:i4>
      </vt:variant>
      <vt:variant>
        <vt:lpwstr>http://www.mtygroup.com/</vt:lpwstr>
      </vt:variant>
      <vt:variant>
        <vt:lpwstr/>
      </vt:variant>
      <vt:variant>
        <vt:i4>4784234</vt:i4>
      </vt:variant>
      <vt:variant>
        <vt:i4>6</vt:i4>
      </vt:variant>
      <vt:variant>
        <vt:i4>0</vt:i4>
      </vt:variant>
      <vt:variant>
        <vt:i4>5</vt:i4>
      </vt:variant>
      <vt:variant>
        <vt:lpwstr>mailto:ir@mtygroup.com</vt:lpwstr>
      </vt:variant>
      <vt:variant>
        <vt:lpwstr/>
      </vt:variant>
      <vt:variant>
        <vt:i4>4194325</vt:i4>
      </vt:variant>
      <vt:variant>
        <vt:i4>3</vt:i4>
      </vt:variant>
      <vt:variant>
        <vt:i4>0</vt:i4>
      </vt:variant>
      <vt:variant>
        <vt:i4>5</vt:i4>
      </vt:variant>
      <vt:variant>
        <vt:lpwstr>http://www.sedar.com/</vt:lpwstr>
      </vt:variant>
      <vt:variant>
        <vt:lpwstr/>
      </vt:variant>
      <vt:variant>
        <vt:i4>5373969</vt:i4>
      </vt:variant>
      <vt:variant>
        <vt:i4>0</vt:i4>
      </vt:variant>
      <vt:variant>
        <vt:i4>0</vt:i4>
      </vt:variant>
      <vt:variant>
        <vt:i4>5</vt:i4>
      </vt:variant>
      <vt:variant>
        <vt:lpwstr>http://www.extremebrandz.com/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Eric Lefebvre</cp:lastModifiedBy>
  <cp:revision>3</cp:revision>
  <cp:lastPrinted>2016-07-26T14:07:00Z</cp:lastPrinted>
  <dcterms:created xsi:type="dcterms:W3CDTF">2016-12-09T03:16:00Z</dcterms:created>
  <dcterms:modified xsi:type="dcterms:W3CDTF">2016-12-09T03:17:00Z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e60523e8-b33c-41a2-bcaa-af3d2df83a39</vt:lpwstr>
  </property>
</Properties>
</file>